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95F8FAA" w:rsidR="00812843" w:rsidRPr="00A64B33" w:rsidRDefault="00876788" w:rsidP="00812843">
      <w:pPr>
        <w:jc w:val="center"/>
        <w:rPr>
          <w:rFonts w:ascii="Times New Roman" w:hAnsi="Times New Roman"/>
          <w:b/>
          <w:sz w:val="32"/>
          <w:szCs w:val="32"/>
        </w:rPr>
      </w:pPr>
      <w:r>
        <w:rPr>
          <w:rFonts w:ascii="Times New Roman" w:hAnsi="Times New Roman"/>
          <w:b/>
          <w:sz w:val="32"/>
          <w:szCs w:val="32"/>
        </w:rPr>
        <w:t>X</w:t>
      </w:r>
      <w:r w:rsidR="00C95294">
        <w:rPr>
          <w:rFonts w:ascii="Times New Roman" w:hAnsi="Times New Roman"/>
          <w:b/>
          <w:sz w:val="32"/>
          <w:szCs w:val="32"/>
        </w:rPr>
        <w:t>I</w:t>
      </w:r>
      <w:r w:rsidR="001F2B3D">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0BD59F7"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1F2B3D">
        <w:rPr>
          <w:rFonts w:ascii="Times New Roman" w:hAnsi="Times New Roman"/>
          <w:b/>
          <w:sz w:val="24"/>
          <w:szCs w:val="24"/>
        </w:rPr>
        <w:t>4</w:t>
      </w:r>
      <w:r w:rsidR="006325CA">
        <w:rPr>
          <w:rFonts w:ascii="Times New Roman" w:hAnsi="Times New Roman"/>
          <w:b/>
          <w:sz w:val="24"/>
          <w:szCs w:val="24"/>
        </w:rPr>
        <w:t xml:space="preserve"> </w:t>
      </w:r>
      <w:r w:rsidR="001F2B3D">
        <w:rPr>
          <w:rFonts w:ascii="Times New Roman" w:hAnsi="Times New Roman"/>
          <w:b/>
          <w:sz w:val="24"/>
          <w:szCs w:val="24"/>
        </w:rPr>
        <w:t>luglio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7CE40D4" w:rsidR="00052EFF" w:rsidRPr="001125BD" w:rsidRDefault="00C814F5" w:rsidP="00FE148C">
      <w:pPr>
        <w:spacing w:before="240"/>
        <w:rPr>
          <w:rFonts w:ascii="Times New Roman" w:hAnsi="Times New Roman"/>
          <w:i/>
          <w:sz w:val="24"/>
        </w:rPr>
      </w:pPr>
      <w:proofErr w:type="spellStart"/>
      <w:r w:rsidRPr="00C814F5">
        <w:rPr>
          <w:rFonts w:ascii="Times New Roman" w:hAnsi="Times New Roman"/>
          <w:i/>
          <w:sz w:val="24"/>
        </w:rPr>
        <w:t>Ez</w:t>
      </w:r>
      <w:proofErr w:type="spellEnd"/>
      <w:r w:rsidRPr="00C814F5">
        <w:rPr>
          <w:rFonts w:ascii="Times New Roman" w:hAnsi="Times New Roman"/>
          <w:i/>
          <w:sz w:val="24"/>
        </w:rPr>
        <w:t xml:space="preserve"> 2,2-</w:t>
      </w:r>
      <w:proofErr w:type="gramStart"/>
      <w:r w:rsidRPr="00C814F5">
        <w:rPr>
          <w:rFonts w:ascii="Times New Roman" w:hAnsi="Times New Roman"/>
          <w:i/>
          <w:sz w:val="24"/>
        </w:rPr>
        <w:t xml:space="preserve">5; </w:t>
      </w:r>
      <w:r>
        <w:rPr>
          <w:rFonts w:ascii="Times New Roman" w:hAnsi="Times New Roman"/>
          <w:i/>
          <w:sz w:val="24"/>
        </w:rPr>
        <w:t xml:space="preserve"> </w:t>
      </w:r>
      <w:r w:rsidRPr="00C814F5">
        <w:rPr>
          <w:rFonts w:ascii="Times New Roman" w:hAnsi="Times New Roman"/>
          <w:i/>
          <w:sz w:val="24"/>
        </w:rPr>
        <w:t>Sal</w:t>
      </w:r>
      <w:proofErr w:type="gramEnd"/>
      <w:r w:rsidRPr="00C814F5">
        <w:rPr>
          <w:rFonts w:ascii="Times New Roman" w:hAnsi="Times New Roman"/>
          <w:i/>
          <w:sz w:val="24"/>
        </w:rPr>
        <w:t xml:space="preserve"> 122; </w:t>
      </w:r>
      <w:r>
        <w:rPr>
          <w:rFonts w:ascii="Times New Roman" w:hAnsi="Times New Roman"/>
          <w:i/>
          <w:sz w:val="24"/>
        </w:rPr>
        <w:t xml:space="preserve"> </w:t>
      </w:r>
      <w:r w:rsidRPr="00C814F5">
        <w:rPr>
          <w:rFonts w:ascii="Times New Roman" w:hAnsi="Times New Roman"/>
          <w:i/>
          <w:sz w:val="24"/>
        </w:rPr>
        <w:t>2Cor 12,7-10;</w:t>
      </w:r>
      <w:r>
        <w:rPr>
          <w:rFonts w:ascii="Times New Roman" w:hAnsi="Times New Roman"/>
          <w:i/>
          <w:sz w:val="24"/>
        </w:rPr>
        <w:t xml:space="preserve"> </w:t>
      </w:r>
      <w:r w:rsidRPr="00C814F5">
        <w:rPr>
          <w:rFonts w:ascii="Times New Roman" w:hAnsi="Times New Roman"/>
          <w:i/>
          <w:sz w:val="24"/>
        </w:rPr>
        <w:t xml:space="preserve"> Mc 6,1-6</w:t>
      </w:r>
    </w:p>
    <w:p w14:paraId="0185D4ED" w14:textId="77777777" w:rsidR="008623EA" w:rsidRPr="001F2B3D" w:rsidRDefault="008623EA" w:rsidP="008623EA">
      <w:pPr>
        <w:rPr>
          <w:rFonts w:ascii="Times New Roman" w:hAnsi="Times New Roman"/>
          <w:sz w:val="24"/>
          <w:szCs w:val="24"/>
        </w:rPr>
      </w:pPr>
      <w:r w:rsidRPr="001F2B3D">
        <w:rPr>
          <w:rFonts w:ascii="Times New Roman" w:hAnsi="Times New Roman"/>
          <w:sz w:val="24"/>
          <w:szCs w:val="24"/>
        </w:rPr>
        <w:t>____________________________________</w:t>
      </w:r>
      <w:r w:rsidR="007B33C6" w:rsidRPr="001F2B3D">
        <w:rPr>
          <w:rFonts w:ascii="Times New Roman" w:hAnsi="Times New Roman"/>
          <w:sz w:val="24"/>
          <w:szCs w:val="24"/>
        </w:rPr>
        <w:t>__</w:t>
      </w:r>
      <w:r w:rsidRPr="001F2B3D">
        <w:rPr>
          <w:rFonts w:ascii="Times New Roman" w:hAnsi="Times New Roman"/>
          <w:sz w:val="24"/>
          <w:szCs w:val="24"/>
        </w:rPr>
        <w:t>_____________</w:t>
      </w:r>
    </w:p>
    <w:p w14:paraId="06462B8B" w14:textId="77777777" w:rsidR="00932A9F" w:rsidRPr="001F2B3D" w:rsidRDefault="00932A9F" w:rsidP="00932A9F">
      <w:pPr>
        <w:spacing w:after="120"/>
        <w:ind w:firstLine="709"/>
        <w:rPr>
          <w:rFonts w:ascii="Times New Roman" w:eastAsia="Times New Roman" w:hAnsi="Times New Roman"/>
          <w:sz w:val="24"/>
          <w:szCs w:val="24"/>
          <w:lang w:eastAsia="it-IT"/>
        </w:rPr>
      </w:pPr>
    </w:p>
    <w:p w14:paraId="1D6E9E7C" w14:textId="04557934"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La liturgia di oggi mette in risalto il contrasto tra la fantasia d’amore di Dio per il suo popolo e la resistenza del popolo ad accogliere l’amore del suo Dio. Arduo spiegare la cosa, ma è un’evidenza della storia, un’evidenza della nostra storia.</w:t>
      </w:r>
    </w:p>
    <w:p w14:paraId="37C2B15F" w14:textId="5E178379"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 xml:space="preserve">La prima lettura sottolinea la tenacia di Dio verso il suo popolo. Il brano è straordinario perché, nonostante il pronosticato fallimento, Dio manda il suo profeta tra gli esiliati a Babilonia. Non succederà nulla, ma almeno sapranno che ho mandato loro un profeta. In altri termini: sapranno che non li ho abbandonati! La </w:t>
      </w:r>
      <w:proofErr w:type="gramStart"/>
      <w:r w:rsidRPr="00C814F5">
        <w:rPr>
          <w:rFonts w:ascii="Times New Roman" w:eastAsia="Times New Roman" w:hAnsi="Times New Roman"/>
          <w:sz w:val="24"/>
          <w:szCs w:val="24"/>
          <w:lang w:eastAsia="it-IT"/>
        </w:rPr>
        <w:t>premura quindi</w:t>
      </w:r>
      <w:proofErr w:type="gramEnd"/>
      <w:r w:rsidRPr="00C814F5">
        <w:rPr>
          <w:rFonts w:ascii="Times New Roman" w:eastAsia="Times New Roman" w:hAnsi="Times New Roman"/>
          <w:sz w:val="24"/>
          <w:szCs w:val="24"/>
          <w:lang w:eastAsia="it-IT"/>
        </w:rPr>
        <w:t xml:space="preserve"> è per il profeta stesso: tu non temere, annuncia loro quello che ti dirò. Tradotto con altre parole, ecco quello che potranno capire: la storia di Dio con il suo popolo continua, continua sempre, Dio non si stanca mai di inseguire, di venire a cercare. E il salmo responsoriale traduce in supplica quello che il popolo capirà col tempo: “A te alzo i miei occhi … finché abbia pietà di noi”.</w:t>
      </w:r>
    </w:p>
    <w:p w14:paraId="431B5770" w14:textId="77777777"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Il brano evangelico, in modo ancora più drammatico, illustra la stessa cosa. Gesù viene a Nazareth, il luogo che l’ha visto crescere, e non è accolto, viene rifiutato. Se mettiamo a confronto i tre vangeli sinottici l’evento ci appare in tutta la sua drammaticità. Marco narra l’episodio dopo il racconto dei miracoli di Gesù ed è l’unico ad apporre una firma all’evento: “</w:t>
      </w:r>
      <w:r w:rsidRPr="00C814F5">
        <w:rPr>
          <w:rFonts w:ascii="Times New Roman" w:eastAsia="Times New Roman" w:hAnsi="Times New Roman"/>
          <w:i/>
          <w:iCs/>
          <w:sz w:val="24"/>
          <w:szCs w:val="24"/>
          <w:lang w:eastAsia="it-IT"/>
        </w:rPr>
        <w:t>E si meravigliava della loro incredulità</w:t>
      </w:r>
      <w:r w:rsidRPr="00C814F5">
        <w:rPr>
          <w:rFonts w:ascii="Times New Roman" w:eastAsia="Times New Roman" w:hAnsi="Times New Roman"/>
          <w:sz w:val="24"/>
          <w:szCs w:val="24"/>
          <w:lang w:eastAsia="it-IT"/>
        </w:rPr>
        <w:t xml:space="preserve">”. Luca è l’unico a spiegare la diffidenza dei suoi concittadini: sembra suggerire che non abbiano accolto di buon grado il ricordo della preferenza dei pagani da parte di Dio (la vedova di Zarepta di Sidone al tempo del profeta Elia e </w:t>
      </w:r>
      <w:proofErr w:type="spellStart"/>
      <w:r w:rsidRPr="00C814F5">
        <w:rPr>
          <w:rFonts w:ascii="Times New Roman" w:eastAsia="Times New Roman" w:hAnsi="Times New Roman"/>
          <w:sz w:val="24"/>
          <w:szCs w:val="24"/>
          <w:lang w:eastAsia="it-IT"/>
        </w:rPr>
        <w:t>Naaman</w:t>
      </w:r>
      <w:proofErr w:type="spellEnd"/>
      <w:r w:rsidRPr="00C814F5">
        <w:rPr>
          <w:rFonts w:ascii="Times New Roman" w:eastAsia="Times New Roman" w:hAnsi="Times New Roman"/>
          <w:sz w:val="24"/>
          <w:szCs w:val="24"/>
          <w:lang w:eastAsia="it-IT"/>
        </w:rPr>
        <w:t xml:space="preserve"> il siro ai tempi di Eliseo) e così contrastano la predicazione di Gesù, come gelosi dei doni di Dio. Per Luca, che pone l’evento all’inizio dell’attività di Gesù, l’esito negativo della prima predicazione di Gesù a Nazaret è la prefigurazione del rifiuto finale di Gesù e della sua morte in croce. Matteo invece sembra suggerire altro perché il passo di oggi fa da contrappunto alla scelta di Gesù, con la proclamazione delle parabole del regno, di chiamare madre e fratelli i suoi discepoli, ai quali “</w:t>
      </w:r>
      <w:r w:rsidRPr="00C814F5">
        <w:rPr>
          <w:rFonts w:ascii="Times New Roman" w:eastAsia="Times New Roman" w:hAnsi="Times New Roman"/>
          <w:i/>
          <w:iCs/>
          <w:sz w:val="24"/>
          <w:szCs w:val="24"/>
          <w:lang w:eastAsia="it-IT"/>
        </w:rPr>
        <w:t>è dato conoscere i misteri del regno dei cieli</w:t>
      </w:r>
      <w:r w:rsidRPr="00C814F5">
        <w:rPr>
          <w:rFonts w:ascii="Times New Roman" w:eastAsia="Times New Roman" w:hAnsi="Times New Roman"/>
          <w:sz w:val="24"/>
          <w:szCs w:val="24"/>
          <w:lang w:eastAsia="it-IT"/>
        </w:rPr>
        <w:t xml:space="preserve">” (Mt 13,11). Alla fine, però, gli ascoltatori non comprendono e Matteo li definisce come coloro che non vogliono essere </w:t>
      </w:r>
      <w:r w:rsidRPr="00C814F5">
        <w:rPr>
          <w:rFonts w:ascii="Times New Roman" w:eastAsia="Times New Roman" w:hAnsi="Times New Roman"/>
          <w:i/>
          <w:iCs/>
          <w:sz w:val="24"/>
          <w:szCs w:val="24"/>
          <w:lang w:eastAsia="it-IT"/>
        </w:rPr>
        <w:t>familiari</w:t>
      </w:r>
      <w:r w:rsidRPr="00C814F5">
        <w:rPr>
          <w:rFonts w:ascii="Times New Roman" w:eastAsia="Times New Roman" w:hAnsi="Times New Roman"/>
          <w:sz w:val="24"/>
          <w:szCs w:val="24"/>
          <w:lang w:eastAsia="it-IT"/>
        </w:rPr>
        <w:t xml:space="preserve"> di Dio.</w:t>
      </w:r>
    </w:p>
    <w:p w14:paraId="0AF639EF" w14:textId="0CAF762D"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L’episodio della predicazione di Gesù a Nazaret illustra bene la premura di Dio. La scena è racchiusa da due identici sentimenti di valore diametralmente opposto. Si apre con la meraviglia, sospettosa, diffidente, che si tramuta poi in ostilità da parte degli ascoltatori presenti nella sinagoga e si chiude con la meraviglia, dispiaciuta, di Gesù, che si vede costretto a fuggire: “</w:t>
      </w:r>
      <w:r w:rsidRPr="00C814F5">
        <w:rPr>
          <w:rFonts w:ascii="Times New Roman" w:eastAsia="Times New Roman" w:hAnsi="Times New Roman"/>
          <w:i/>
          <w:iCs/>
          <w:sz w:val="24"/>
          <w:szCs w:val="24"/>
          <w:lang w:eastAsia="it-IT"/>
        </w:rPr>
        <w:t>E si meravigliava della loro incredulità</w:t>
      </w:r>
      <w:r w:rsidRPr="00C814F5">
        <w:rPr>
          <w:rFonts w:ascii="Times New Roman" w:eastAsia="Times New Roman" w:hAnsi="Times New Roman"/>
          <w:sz w:val="24"/>
          <w:szCs w:val="24"/>
          <w:lang w:eastAsia="it-IT"/>
        </w:rPr>
        <w:t xml:space="preserve">”. Una meraviglia, quella di Gesù, però, che non si tramuta in ostilità con la sua fuga, bensì in tenacia e immaginazione per creare nuove occasioni, fino alla fine, come il resto del </w:t>
      </w:r>
      <w:r w:rsidRPr="00C814F5">
        <w:rPr>
          <w:rFonts w:ascii="Times New Roman" w:eastAsia="Times New Roman" w:hAnsi="Times New Roman"/>
          <w:sz w:val="24"/>
          <w:szCs w:val="24"/>
          <w:lang w:eastAsia="it-IT"/>
        </w:rPr>
        <w:lastRenderedPageBreak/>
        <w:t>racconto evangelico proverà, perché i cuori finalmente si aprano all’amore del Padre testimoniato da lui e dalla sua attività ovunque.</w:t>
      </w:r>
    </w:p>
    <w:p w14:paraId="23193BED" w14:textId="53B93697"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Noi non ci accorgiamo che spesso la nostra incredulità nasconde una cattiva idea di Dio. A dire il vero non si tratta realmente di una mancanza di fede, ma di diffidenza, di riserva mentale. Come per i concittadini di Gesù descritti da Luca 4,16-31: gli ascoltatori della sinagoga si sentono offesi quando Gesù ricorda loro che Dio non ha disdegnato i pagani, come se questa preferenza comportasse un’accusa ai suoi figli. Così è per noi: è vero che ci accorgiamo che Gesù insegna cose belle, cose degne della massima stima, ma essere disposti ad accoglierlo e seguirlo nella sua rivelazione di Dio e nel suo servizio agli uomini non ci è agevole.</w:t>
      </w:r>
    </w:p>
    <w:p w14:paraId="1A1CAC1F" w14:textId="5CB930C6"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 xml:space="preserve">La liturgia ci invita allora a cogliere il nodo essenziale della vita: la salvezza è data dalla potenza di Dio ma ha bisogno di essere accolta con fede, senza riserve mentali. Il problema più o meno può essere posto così: perché la grazia non compie tutto ciò che promette? Pensiamo al perdono che domandiamo a Dio per i nostri peccati. Perché, pur chiedendolo sinceramente e ottenendolo, non agisce in profondità da trasformarci completamente? Forse che Dio vincola il suo perdono? Non sarebbe morto per noi! Pensiamo alla richiesta di una virtù: “Signore, fammi umile”. Perché dopo la richiesta restiamo ancora in preda all'orgoglio e all'egoismo? Forse che Dio è geloso dei suoi doni? Non ci avrebbe dato il suo Figlio! </w:t>
      </w:r>
      <w:proofErr w:type="gramStart"/>
      <w:r w:rsidRPr="00C814F5">
        <w:rPr>
          <w:rFonts w:ascii="Times New Roman" w:eastAsia="Times New Roman" w:hAnsi="Times New Roman"/>
          <w:sz w:val="24"/>
          <w:szCs w:val="24"/>
          <w:lang w:eastAsia="it-IT"/>
        </w:rPr>
        <w:t>Ecco dunque</w:t>
      </w:r>
      <w:proofErr w:type="gramEnd"/>
      <w:r w:rsidRPr="00C814F5">
        <w:rPr>
          <w:rFonts w:ascii="Times New Roman" w:eastAsia="Times New Roman" w:hAnsi="Times New Roman"/>
          <w:sz w:val="24"/>
          <w:szCs w:val="24"/>
          <w:lang w:eastAsia="it-IT"/>
        </w:rPr>
        <w:t xml:space="preserve"> la meraviglia di Gesù: la nostra incredulità.</w:t>
      </w:r>
    </w:p>
    <w:p w14:paraId="5903DD81" w14:textId="4790FBEA" w:rsidR="00C814F5" w:rsidRPr="00C814F5" w:rsidRDefault="00C814F5" w:rsidP="00C814F5">
      <w:pPr>
        <w:ind w:firstLine="709"/>
        <w:rPr>
          <w:rFonts w:ascii="Times New Roman" w:eastAsia="Times New Roman" w:hAnsi="Times New Roman"/>
          <w:sz w:val="24"/>
          <w:szCs w:val="24"/>
          <w:lang w:eastAsia="it-IT"/>
        </w:rPr>
      </w:pPr>
      <w:r w:rsidRPr="00C814F5">
        <w:rPr>
          <w:rFonts w:ascii="Times New Roman" w:eastAsia="Times New Roman" w:hAnsi="Times New Roman"/>
          <w:sz w:val="24"/>
          <w:szCs w:val="24"/>
          <w:lang w:eastAsia="it-IT"/>
        </w:rPr>
        <w:t>Dio non si stanca però della nostra incredulità perché sa che il nostro cuore ha bisogno di tempo per cedere, per arrendersi, per sciogliere le sue paure, le sue resistenze, le sue ambiguità. L'importante è non lasciare mai il Signore, lasciarsi sempre riaccostare da lui tanto che, come dice la colletta: “perché riconosciamo la tua gloria nell’umiliazione del tuo Figlio, e nella nostra debolezza sperimentiamo la potenza della sua risurrezione”. Il movimento suggerito dalla preghiera è appunto quello di imparare a vedere la gloria, cioè lo splendore dell’amore del Padre per gli uomini, proprio nell’umiliazione del Figlio che si consegna agli uomini perché sappiano quanto lui ama il Padre e quanto è grande il suo amore per noi. Il che significa riconoscersi dentro una provvidenza di bene per noi, stando solidale con i sentimenti di Dio, in favore dei fratelli. Così facendo, potremo sperimentare la potenza della vita che viene da Dio accogliendo in pace le infermità e le afflizioni della nostra storia perché non sono queste ad allontanarci dalla comunione con Colui che il nostro cuore cerca e di cui potente è la salvezza.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AC7C39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814F5" w:rsidRPr="00C814F5">
        <w:rPr>
          <w:rFonts w:ascii="Times New Roman" w:eastAsia="Times New Roman" w:hAnsi="Times New Roman"/>
          <w:b/>
          <w:sz w:val="20"/>
          <w:szCs w:val="20"/>
          <w:lang w:eastAsia="it-IT"/>
        </w:rPr>
        <w:t>Ez</w:t>
      </w:r>
      <w:proofErr w:type="spellEnd"/>
      <w:proofErr w:type="gramEnd"/>
      <w:r w:rsidR="00C814F5" w:rsidRPr="00C814F5">
        <w:rPr>
          <w:rFonts w:ascii="Times New Roman" w:eastAsia="Times New Roman" w:hAnsi="Times New Roman"/>
          <w:b/>
          <w:sz w:val="20"/>
          <w:szCs w:val="20"/>
          <w:lang w:eastAsia="it-IT"/>
        </w:rPr>
        <w:t xml:space="preserve"> 2, 2-5</w:t>
      </w:r>
    </w:p>
    <w:p w14:paraId="6686F9C6" w14:textId="3C03887A" w:rsidR="00C120FA" w:rsidRDefault="00C814F5" w:rsidP="00C120FA">
      <w:pPr>
        <w:ind w:firstLine="709"/>
        <w:rPr>
          <w:rFonts w:ascii="Times New Roman" w:eastAsia="Times New Roman" w:hAnsi="Times New Roman"/>
          <w:i/>
          <w:sz w:val="20"/>
          <w:szCs w:val="20"/>
          <w:lang w:eastAsia="it-IT"/>
        </w:rPr>
      </w:pPr>
      <w:r w:rsidRPr="00C814F5">
        <w:rPr>
          <w:rFonts w:ascii="Times New Roman" w:eastAsia="Times New Roman" w:hAnsi="Times New Roman"/>
          <w:i/>
          <w:sz w:val="20"/>
          <w:szCs w:val="20"/>
          <w:lang w:eastAsia="it-IT"/>
        </w:rPr>
        <w:t>Dal libro del profeta Ezechiele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1A227ACB"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In quei giorni, uno spirito entrò in me, mi fece alzare in piedi e io ascoltai colui che mi parlava.</w:t>
      </w:r>
    </w:p>
    <w:p w14:paraId="5FFEC38F"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w:t>
      </w:r>
    </w:p>
    <w:p w14:paraId="150E3D93" w14:textId="000A12D8" w:rsidR="002D7EF3" w:rsidRPr="002D7EF3"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Ascoltino o non ascoltino – dal momento che sono una genìa di ribelli –, sapranno almeno che un profeta si trova in mezzo a loro».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FFBBE5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DA2E46" w:rsidRPr="00DA2E46">
        <w:rPr>
          <w:rFonts w:ascii="Times New Roman" w:eastAsia="Times New Roman" w:hAnsi="Times New Roman"/>
          <w:b/>
          <w:bCs/>
          <w:sz w:val="20"/>
          <w:szCs w:val="20"/>
          <w:lang w:eastAsia="it-IT"/>
        </w:rPr>
        <w:t>Dal</w:t>
      </w:r>
      <w:proofErr w:type="gramEnd"/>
      <w:r w:rsidR="00DA2E46" w:rsidRPr="00DA2E46">
        <w:rPr>
          <w:rFonts w:ascii="Times New Roman" w:eastAsia="Times New Roman" w:hAnsi="Times New Roman"/>
          <w:b/>
          <w:bCs/>
          <w:sz w:val="20"/>
          <w:szCs w:val="20"/>
          <w:lang w:eastAsia="it-IT"/>
        </w:rPr>
        <w:t xml:space="preserve"> Salmo </w:t>
      </w:r>
      <w:r w:rsidR="00C814F5">
        <w:rPr>
          <w:rFonts w:ascii="Times New Roman" w:eastAsia="Times New Roman" w:hAnsi="Times New Roman"/>
          <w:b/>
          <w:bCs/>
          <w:sz w:val="20"/>
          <w:szCs w:val="20"/>
          <w:lang w:eastAsia="it-IT"/>
        </w:rPr>
        <w:t>122</w:t>
      </w:r>
    </w:p>
    <w:p w14:paraId="089E1591" w14:textId="26559626" w:rsidR="002D7EF3" w:rsidRPr="00E727EB" w:rsidRDefault="00C814F5" w:rsidP="002D7EF3">
      <w:pPr>
        <w:ind w:firstLine="709"/>
        <w:rPr>
          <w:rFonts w:ascii="Times New Roman" w:eastAsia="Times New Roman" w:hAnsi="Times New Roman"/>
          <w:i/>
          <w:iCs/>
          <w:sz w:val="20"/>
          <w:szCs w:val="20"/>
          <w:lang w:eastAsia="it-IT"/>
        </w:rPr>
      </w:pPr>
      <w:r w:rsidRPr="00C814F5">
        <w:rPr>
          <w:rFonts w:ascii="Times New Roman" w:eastAsia="Times New Roman" w:hAnsi="Times New Roman"/>
          <w:i/>
          <w:iCs/>
          <w:sz w:val="20"/>
          <w:szCs w:val="20"/>
          <w:lang w:eastAsia="it-IT"/>
        </w:rPr>
        <w:lastRenderedPageBreak/>
        <w:t>I nostri occhi sono rivolti 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0FCA15F"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A te alzo i miei occhi,</w:t>
      </w:r>
    </w:p>
    <w:p w14:paraId="56C7B1C5"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a te che siedi nei cieli.</w:t>
      </w:r>
    </w:p>
    <w:p w14:paraId="45FBC0DC"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Ecco, come gli occhi dei servi</w:t>
      </w:r>
    </w:p>
    <w:p w14:paraId="6622A025"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alla mano dei loro padroni.</w:t>
      </w:r>
    </w:p>
    <w:p w14:paraId="50E260FC" w14:textId="77777777" w:rsidR="00C814F5" w:rsidRPr="00C814F5" w:rsidRDefault="00C814F5" w:rsidP="00C814F5">
      <w:pPr>
        <w:ind w:firstLine="709"/>
        <w:rPr>
          <w:rFonts w:ascii="Times New Roman" w:eastAsia="Times New Roman" w:hAnsi="Times New Roman"/>
          <w:sz w:val="20"/>
          <w:szCs w:val="20"/>
          <w:lang w:eastAsia="it-IT"/>
        </w:rPr>
      </w:pPr>
    </w:p>
    <w:p w14:paraId="17AF9358"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Come gli occhi di una schiava</w:t>
      </w:r>
    </w:p>
    <w:p w14:paraId="45B44ABF"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alla mano della sua padrona,</w:t>
      </w:r>
    </w:p>
    <w:p w14:paraId="30A44892"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così i nostri occhi al Signore nostro Dio,</w:t>
      </w:r>
    </w:p>
    <w:p w14:paraId="2980D1F2"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finché abbia pietà di noi.</w:t>
      </w:r>
    </w:p>
    <w:p w14:paraId="643C513E" w14:textId="77777777" w:rsidR="00C814F5" w:rsidRPr="00C814F5" w:rsidRDefault="00C814F5" w:rsidP="00C814F5">
      <w:pPr>
        <w:ind w:firstLine="709"/>
        <w:rPr>
          <w:rFonts w:ascii="Times New Roman" w:eastAsia="Times New Roman" w:hAnsi="Times New Roman"/>
          <w:sz w:val="20"/>
          <w:szCs w:val="20"/>
          <w:lang w:eastAsia="it-IT"/>
        </w:rPr>
      </w:pPr>
    </w:p>
    <w:p w14:paraId="7905A42B"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Pietà di noi, Signore, pietà di noi,</w:t>
      </w:r>
    </w:p>
    <w:p w14:paraId="6877EDFE"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siamo già troppo sazi di disprezzo,</w:t>
      </w:r>
    </w:p>
    <w:p w14:paraId="5BF22A86"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troppo sazi noi siamo dello scherno dei gaudenti,</w:t>
      </w:r>
    </w:p>
    <w:p w14:paraId="14E3EDF2" w14:textId="74563D2E" w:rsidR="002F4A55" w:rsidRPr="002F4A5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del disprezzo dei superbi.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5BCF80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814F5" w:rsidRPr="00C814F5">
        <w:rPr>
          <w:rFonts w:ascii="Times New Roman" w:eastAsia="Times New Roman" w:hAnsi="Times New Roman"/>
          <w:b/>
          <w:sz w:val="20"/>
          <w:szCs w:val="20"/>
          <w:lang w:eastAsia="it-IT"/>
        </w:rPr>
        <w:t>2</w:t>
      </w:r>
      <w:proofErr w:type="gramEnd"/>
      <w:r w:rsidR="00C814F5" w:rsidRPr="00C814F5">
        <w:rPr>
          <w:rFonts w:ascii="Times New Roman" w:eastAsia="Times New Roman" w:hAnsi="Times New Roman"/>
          <w:b/>
          <w:sz w:val="20"/>
          <w:szCs w:val="20"/>
          <w:lang w:eastAsia="it-IT"/>
        </w:rPr>
        <w:t xml:space="preserve"> </w:t>
      </w:r>
      <w:proofErr w:type="spellStart"/>
      <w:r w:rsidR="00C814F5" w:rsidRPr="00C814F5">
        <w:rPr>
          <w:rFonts w:ascii="Times New Roman" w:eastAsia="Times New Roman" w:hAnsi="Times New Roman"/>
          <w:b/>
          <w:sz w:val="20"/>
          <w:szCs w:val="20"/>
          <w:lang w:eastAsia="it-IT"/>
        </w:rPr>
        <w:t>Cor</w:t>
      </w:r>
      <w:proofErr w:type="spellEnd"/>
      <w:r w:rsidR="00C814F5" w:rsidRPr="00C814F5">
        <w:rPr>
          <w:rFonts w:ascii="Times New Roman" w:eastAsia="Times New Roman" w:hAnsi="Times New Roman"/>
          <w:b/>
          <w:sz w:val="20"/>
          <w:szCs w:val="20"/>
          <w:lang w:eastAsia="it-IT"/>
        </w:rPr>
        <w:t xml:space="preserve"> 12, 7-10</w:t>
      </w:r>
    </w:p>
    <w:p w14:paraId="7295D8CD" w14:textId="4485239F" w:rsidR="00C120FA" w:rsidRPr="00EF771E" w:rsidRDefault="00DA2E46" w:rsidP="00C120FA">
      <w:pPr>
        <w:spacing w:after="120"/>
        <w:ind w:firstLine="709"/>
        <w:rPr>
          <w:rFonts w:ascii="Times New Roman" w:eastAsia="Times New Roman" w:hAnsi="Times New Roman"/>
          <w:i/>
          <w:sz w:val="20"/>
          <w:szCs w:val="20"/>
          <w:lang w:eastAsia="it-IT"/>
        </w:rPr>
      </w:pPr>
      <w:r w:rsidRPr="00DA2E46">
        <w:rPr>
          <w:rFonts w:ascii="Times New Roman" w:eastAsia="Times New Roman" w:hAnsi="Times New Roman"/>
          <w:i/>
          <w:sz w:val="20"/>
          <w:szCs w:val="20"/>
          <w:lang w:eastAsia="it-IT"/>
        </w:rPr>
        <w:t>Dalla seconda lettera di san Paolo apostolo ai Corinzi</w:t>
      </w:r>
    </w:p>
    <w:p w14:paraId="25E96AEE"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Fratelli, affinché io non monti in superbia, è stata data alla mia carne una spina, un inviato di Satana per percuotermi, perché io non monti in superbia.</w:t>
      </w:r>
    </w:p>
    <w:p w14:paraId="5B247D2C"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 xml:space="preserve">A causa di questo per tre volte ho pregato il Signore che l’allontanasse da me. Ed egli mi ha detto: «Ti basta la mia grazia; la </w:t>
      </w:r>
      <w:proofErr w:type="gramStart"/>
      <w:r w:rsidRPr="00C814F5">
        <w:rPr>
          <w:rFonts w:ascii="Times New Roman" w:eastAsia="Times New Roman" w:hAnsi="Times New Roman"/>
          <w:sz w:val="20"/>
          <w:szCs w:val="20"/>
          <w:lang w:eastAsia="it-IT"/>
        </w:rPr>
        <w:t>forza infatti</w:t>
      </w:r>
      <w:proofErr w:type="gramEnd"/>
      <w:r w:rsidRPr="00C814F5">
        <w:rPr>
          <w:rFonts w:ascii="Times New Roman" w:eastAsia="Times New Roman" w:hAnsi="Times New Roman"/>
          <w:sz w:val="20"/>
          <w:szCs w:val="20"/>
          <w:lang w:eastAsia="it-IT"/>
        </w:rPr>
        <w:t xml:space="preserve"> si manifesta pienamente nella debolezza».</w:t>
      </w:r>
    </w:p>
    <w:p w14:paraId="79AB1EB0" w14:textId="1825347D" w:rsidR="00C120FA"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720847D"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D01E5" w:rsidRPr="003D01E5">
        <w:rPr>
          <w:rFonts w:ascii="Times New Roman" w:eastAsia="Times New Roman" w:hAnsi="Times New Roman"/>
          <w:b/>
          <w:sz w:val="20"/>
          <w:szCs w:val="20"/>
          <w:lang w:eastAsia="it-IT"/>
        </w:rPr>
        <w:t>Mc</w:t>
      </w:r>
      <w:proofErr w:type="gramEnd"/>
      <w:r w:rsidR="003D01E5" w:rsidRPr="003D01E5">
        <w:rPr>
          <w:rFonts w:ascii="Times New Roman" w:eastAsia="Times New Roman" w:hAnsi="Times New Roman"/>
          <w:b/>
          <w:sz w:val="20"/>
          <w:szCs w:val="20"/>
          <w:lang w:eastAsia="it-IT"/>
        </w:rPr>
        <w:t xml:space="preserve"> </w:t>
      </w:r>
      <w:r w:rsidR="00C814F5">
        <w:rPr>
          <w:rFonts w:ascii="Times New Roman" w:eastAsia="Times New Roman" w:hAnsi="Times New Roman"/>
          <w:b/>
          <w:sz w:val="20"/>
          <w:szCs w:val="20"/>
          <w:lang w:eastAsia="it-IT"/>
        </w:rPr>
        <w:t>6</w:t>
      </w:r>
      <w:r w:rsidR="003D01E5" w:rsidRPr="003D01E5">
        <w:rPr>
          <w:rFonts w:ascii="Times New Roman" w:eastAsia="Times New Roman" w:hAnsi="Times New Roman"/>
          <w:b/>
          <w:sz w:val="20"/>
          <w:szCs w:val="20"/>
          <w:lang w:eastAsia="it-IT"/>
        </w:rPr>
        <w:t>, 1-</w:t>
      </w:r>
      <w:r w:rsidR="00C814F5">
        <w:rPr>
          <w:rFonts w:ascii="Times New Roman" w:eastAsia="Times New Roman" w:hAnsi="Times New Roman"/>
          <w:b/>
          <w:sz w:val="20"/>
          <w:szCs w:val="20"/>
          <w:lang w:eastAsia="it-IT"/>
        </w:rPr>
        <w:t>6</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611FAA4E"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In quel tempo, Gesù venne nella sua patria e i suoi discepoli lo seguirono.</w:t>
      </w:r>
    </w:p>
    <w:p w14:paraId="106505B0"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 xml:space="preserve">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w:t>
      </w:r>
      <w:proofErr w:type="spellStart"/>
      <w:r w:rsidRPr="00C814F5">
        <w:rPr>
          <w:rFonts w:ascii="Times New Roman" w:eastAsia="Times New Roman" w:hAnsi="Times New Roman"/>
          <w:sz w:val="20"/>
          <w:szCs w:val="20"/>
          <w:lang w:eastAsia="it-IT"/>
        </w:rPr>
        <w:t>Ioses</w:t>
      </w:r>
      <w:proofErr w:type="spellEnd"/>
      <w:r w:rsidRPr="00C814F5">
        <w:rPr>
          <w:rFonts w:ascii="Times New Roman" w:eastAsia="Times New Roman" w:hAnsi="Times New Roman"/>
          <w:sz w:val="20"/>
          <w:szCs w:val="20"/>
          <w:lang w:eastAsia="it-IT"/>
        </w:rPr>
        <w:t xml:space="preserve">, di Giuda e di Simone? E </w:t>
      </w:r>
      <w:proofErr w:type="gramStart"/>
      <w:r w:rsidRPr="00C814F5">
        <w:rPr>
          <w:rFonts w:ascii="Times New Roman" w:eastAsia="Times New Roman" w:hAnsi="Times New Roman"/>
          <w:sz w:val="20"/>
          <w:szCs w:val="20"/>
          <w:lang w:eastAsia="it-IT"/>
        </w:rPr>
        <w:t>le sue sorelle,</w:t>
      </w:r>
      <w:proofErr w:type="gramEnd"/>
      <w:r w:rsidRPr="00C814F5">
        <w:rPr>
          <w:rFonts w:ascii="Times New Roman" w:eastAsia="Times New Roman" w:hAnsi="Times New Roman"/>
          <w:sz w:val="20"/>
          <w:szCs w:val="20"/>
          <w:lang w:eastAsia="it-IT"/>
        </w:rPr>
        <w:t xml:space="preserve"> non stanno qui da noi?». Ed era per loro motivo di scandalo.</w:t>
      </w:r>
    </w:p>
    <w:p w14:paraId="728D3A69" w14:textId="77777777" w:rsidR="00C814F5" w:rsidRPr="00C814F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Ma Gesù disse loro: «Un profeta non è disprezzato se non nella sua patria, tra i suoi parenti e in casa sua». E lì non poteva compiere nessun prodigio, ma solo impose le mani a pochi malati e li guarì. E si meravigliava della loro incredulità.</w:t>
      </w:r>
    </w:p>
    <w:p w14:paraId="1949741E" w14:textId="33ED5515" w:rsidR="00E46EE5" w:rsidRDefault="00C814F5" w:rsidP="00C814F5">
      <w:pPr>
        <w:ind w:firstLine="709"/>
        <w:rPr>
          <w:rFonts w:ascii="Times New Roman" w:eastAsia="Times New Roman" w:hAnsi="Times New Roman"/>
          <w:sz w:val="20"/>
          <w:szCs w:val="20"/>
          <w:lang w:eastAsia="it-IT"/>
        </w:rPr>
      </w:pPr>
      <w:r w:rsidRPr="00C814F5">
        <w:rPr>
          <w:rFonts w:ascii="Times New Roman" w:eastAsia="Times New Roman" w:hAnsi="Times New Roman"/>
          <w:sz w:val="20"/>
          <w:szCs w:val="20"/>
          <w:lang w:eastAsia="it-IT"/>
        </w:rPr>
        <w:t>Gesù percorreva i villaggi d’intorno, insegnando.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AAC2" w14:textId="77777777" w:rsidR="001B7305" w:rsidRDefault="001B7305" w:rsidP="00FD7629">
      <w:pPr>
        <w:spacing w:line="240" w:lineRule="auto"/>
      </w:pPr>
      <w:r>
        <w:separator/>
      </w:r>
    </w:p>
  </w:endnote>
  <w:endnote w:type="continuationSeparator" w:id="0">
    <w:p w14:paraId="14715D10" w14:textId="77777777" w:rsidR="001B7305" w:rsidRDefault="001B730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149EA2E" w:rsidR="004827B5" w:rsidRDefault="00C814F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92966">
      <w:rPr>
        <w:noProof/>
        <w:sz w:val="18"/>
        <w:szCs w:val="18"/>
      </w:rPr>
      <w:t>14domenica-4luglio2021.docx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A2E46" w:rsidRPr="00DA2E46">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FA7D" w14:textId="77777777" w:rsidR="001B7305" w:rsidRDefault="001B7305" w:rsidP="00FD7629">
      <w:pPr>
        <w:spacing w:line="240" w:lineRule="auto"/>
      </w:pPr>
      <w:r>
        <w:separator/>
      </w:r>
    </w:p>
  </w:footnote>
  <w:footnote w:type="continuationSeparator" w:id="0">
    <w:p w14:paraId="2AE8E160" w14:textId="77777777" w:rsidR="001B7305" w:rsidRDefault="001B730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6D26-02CE-427D-9FCD-66D17EDD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1291</Words>
  <Characters>7360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2021-07-02T10:15:00Z</cp:lastPrinted>
  <dcterms:created xsi:type="dcterms:W3CDTF">2021-07-02T09:57:00Z</dcterms:created>
  <dcterms:modified xsi:type="dcterms:W3CDTF">2021-07-02T10:15:00Z</dcterms:modified>
</cp:coreProperties>
</file>